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3435"/>
        <w:gridCol w:w="3362"/>
      </w:tblGrid>
      <w:tr w:rsidR="00FA0869" w:rsidRPr="00602781">
        <w:tc>
          <w:tcPr>
            <w:tcW w:w="9576" w:type="dxa"/>
            <w:gridSpan w:val="3"/>
          </w:tcPr>
          <w:p w:rsidR="00FA0869" w:rsidRPr="00602781" w:rsidRDefault="00FA0869" w:rsidP="00D81787">
            <w:pPr>
              <w:jc w:val="center"/>
              <w:rPr>
                <w:rFonts w:ascii="Comic Sans MS" w:hAnsi="Comic Sans MS" w:cs="Comic Sans MS"/>
              </w:rPr>
            </w:pPr>
            <w:r>
              <w:rPr>
                <w:rFonts w:ascii="Comic Sans MS" w:hAnsi="Comic Sans MS" w:cs="Comic Sans MS"/>
                <w:sz w:val="22"/>
                <w:szCs w:val="22"/>
              </w:rPr>
              <w:t>6</w:t>
            </w:r>
            <w:r w:rsidRPr="00DB36D5">
              <w:rPr>
                <w:rFonts w:ascii="Comic Sans MS" w:hAnsi="Comic Sans MS" w:cs="Comic Sans MS"/>
                <w:sz w:val="22"/>
                <w:szCs w:val="22"/>
                <w:vertAlign w:val="superscript"/>
              </w:rPr>
              <w:t>th</w:t>
            </w:r>
            <w:r>
              <w:rPr>
                <w:rFonts w:ascii="Comic Sans MS" w:hAnsi="Comic Sans MS" w:cs="Comic Sans MS"/>
                <w:sz w:val="22"/>
                <w:szCs w:val="22"/>
              </w:rPr>
              <w:t xml:space="preserve"> Grade Band</w:t>
            </w:r>
          </w:p>
          <w:p w:rsidR="00FA0869" w:rsidRPr="00602781" w:rsidRDefault="00FA0869" w:rsidP="00D81787">
            <w:pPr>
              <w:jc w:val="center"/>
              <w:rPr>
                <w:rFonts w:ascii="Comic Sans MS" w:hAnsi="Comic Sans MS" w:cs="Comic Sans MS"/>
              </w:rPr>
            </w:pPr>
            <w:r>
              <w:rPr>
                <w:rFonts w:ascii="Comic Sans MS" w:hAnsi="Comic Sans MS" w:cs="Comic Sans MS"/>
                <w:sz w:val="22"/>
                <w:szCs w:val="22"/>
              </w:rPr>
              <w:t>6-Week</w:t>
            </w:r>
            <w:r w:rsidRPr="00602781">
              <w:rPr>
                <w:rFonts w:ascii="Comic Sans MS" w:hAnsi="Comic Sans MS" w:cs="Comic Sans MS"/>
                <w:sz w:val="22"/>
                <w:szCs w:val="22"/>
              </w:rPr>
              <w:t xml:space="preserve"> Snapshot        </w:t>
            </w:r>
          </w:p>
        </w:tc>
      </w:tr>
      <w:tr w:rsidR="00FA0869" w:rsidRPr="00602781">
        <w:tc>
          <w:tcPr>
            <w:tcW w:w="9576" w:type="dxa"/>
            <w:gridSpan w:val="3"/>
          </w:tcPr>
          <w:p w:rsidR="00FA0869" w:rsidRPr="00602781" w:rsidRDefault="00FA0869" w:rsidP="00E7798F">
            <w:pPr>
              <w:jc w:val="center"/>
              <w:rPr>
                <w:rFonts w:ascii="Comic Sans MS" w:hAnsi="Comic Sans MS" w:cs="Comic Sans MS"/>
              </w:rPr>
            </w:pPr>
            <w:r>
              <w:rPr>
                <w:rFonts w:ascii="Comic Sans MS" w:hAnsi="Comic Sans MS" w:cs="Comic Sans MS"/>
                <w:sz w:val="22"/>
                <w:szCs w:val="22"/>
              </w:rPr>
              <w:t>2</w:t>
            </w:r>
            <w:r w:rsidRPr="00730931">
              <w:rPr>
                <w:rFonts w:ascii="Comic Sans MS" w:hAnsi="Comic Sans MS" w:cs="Comic Sans MS"/>
                <w:sz w:val="22"/>
                <w:szCs w:val="22"/>
                <w:vertAlign w:val="superscript"/>
              </w:rPr>
              <w:t>nd</w:t>
            </w:r>
            <w:r>
              <w:rPr>
                <w:rFonts w:ascii="Comic Sans MS" w:hAnsi="Comic Sans MS" w:cs="Comic Sans MS"/>
                <w:sz w:val="22"/>
                <w:szCs w:val="22"/>
              </w:rPr>
              <w:t xml:space="preserve"> </w:t>
            </w:r>
            <w:r w:rsidRPr="00602781">
              <w:rPr>
                <w:rFonts w:ascii="Comic Sans MS" w:hAnsi="Comic Sans MS" w:cs="Comic Sans MS"/>
                <w:sz w:val="22"/>
                <w:szCs w:val="22"/>
              </w:rPr>
              <w:t>Six Weeks</w:t>
            </w:r>
          </w:p>
        </w:tc>
      </w:tr>
      <w:tr w:rsidR="00FA0869" w:rsidRPr="00602781">
        <w:tc>
          <w:tcPr>
            <w:tcW w:w="2779" w:type="dxa"/>
          </w:tcPr>
          <w:p w:rsidR="00FA0869" w:rsidRPr="00602781" w:rsidRDefault="00FA0869" w:rsidP="00BA6886">
            <w:pPr>
              <w:jc w:val="center"/>
              <w:rPr>
                <w:rFonts w:ascii="Comic Sans MS" w:hAnsi="Comic Sans MS" w:cs="Comic Sans MS"/>
              </w:rPr>
            </w:pPr>
            <w:r>
              <w:rPr>
                <w:rFonts w:ascii="Comic Sans MS" w:hAnsi="Comic Sans MS" w:cs="Comic Sans MS"/>
                <w:sz w:val="22"/>
                <w:szCs w:val="22"/>
              </w:rPr>
              <w:t>General Concept</w:t>
            </w:r>
          </w:p>
        </w:tc>
        <w:tc>
          <w:tcPr>
            <w:tcW w:w="3435" w:type="dxa"/>
          </w:tcPr>
          <w:p w:rsidR="00FA0869" w:rsidRPr="00A9504C" w:rsidRDefault="00FA0869" w:rsidP="00BA6886">
            <w:pPr>
              <w:jc w:val="center"/>
              <w:rPr>
                <w:rFonts w:ascii="Comic Sans MS" w:hAnsi="Comic Sans MS" w:cs="Comic Sans MS"/>
              </w:rPr>
            </w:pPr>
            <w:r>
              <w:rPr>
                <w:rFonts w:ascii="Comic Sans MS" w:hAnsi="Comic Sans MS" w:cs="Comic Sans MS"/>
                <w:sz w:val="22"/>
                <w:szCs w:val="22"/>
              </w:rPr>
              <w:t>Topic</w:t>
            </w:r>
          </w:p>
        </w:tc>
        <w:tc>
          <w:tcPr>
            <w:tcW w:w="3362" w:type="dxa"/>
          </w:tcPr>
          <w:p w:rsidR="00FA0869" w:rsidRPr="00A9504C" w:rsidRDefault="00FA0869" w:rsidP="00BA6886">
            <w:pPr>
              <w:jc w:val="center"/>
              <w:rPr>
                <w:rFonts w:ascii="Comic Sans MS" w:hAnsi="Comic Sans MS" w:cs="Comic Sans MS"/>
              </w:rPr>
            </w:pPr>
            <w:smartTag w:uri="urn:schemas-microsoft-com:office:smarttags" w:element="stockticker">
              <w:r>
                <w:rPr>
                  <w:rFonts w:ascii="Comic Sans MS" w:hAnsi="Comic Sans MS" w:cs="Comic Sans MS"/>
                  <w:sz w:val="22"/>
                  <w:szCs w:val="22"/>
                </w:rPr>
                <w:t>TEKS</w:t>
              </w:r>
            </w:smartTag>
            <w:r>
              <w:rPr>
                <w:rFonts w:ascii="Comic Sans MS" w:hAnsi="Comic Sans MS" w:cs="Comic Sans MS"/>
                <w:sz w:val="22"/>
                <w:szCs w:val="22"/>
              </w:rPr>
              <w:t>/Learning Target</w:t>
            </w:r>
            <w:bookmarkStart w:id="0" w:name="_GoBack"/>
            <w:bookmarkEnd w:id="0"/>
          </w:p>
        </w:tc>
      </w:tr>
      <w:tr w:rsidR="00FA0869" w:rsidRPr="00602781">
        <w:tc>
          <w:tcPr>
            <w:tcW w:w="2779" w:type="dxa"/>
          </w:tcPr>
          <w:p w:rsidR="00FA0869" w:rsidRPr="00602781" w:rsidRDefault="00FA0869" w:rsidP="00A57A83">
            <w:pPr>
              <w:rPr>
                <w:rFonts w:ascii="Comic Sans MS" w:hAnsi="Comic Sans MS" w:cs="Comic Sans MS"/>
              </w:rPr>
            </w:pPr>
            <w:r>
              <w:rPr>
                <w:rFonts w:ascii="Comic Sans MS" w:hAnsi="Comic Sans MS" w:cs="Comic Sans MS"/>
                <w:sz w:val="22"/>
                <w:szCs w:val="22"/>
              </w:rPr>
              <w:t xml:space="preserve"> </w:t>
            </w:r>
          </w:p>
          <w:p w:rsidR="00FA0869" w:rsidRDefault="00FA0869" w:rsidP="00D81787">
            <w:pPr>
              <w:jc w:val="center"/>
              <w:rPr>
                <w:rFonts w:ascii="Comic Sans MS" w:hAnsi="Comic Sans MS" w:cs="Comic Sans MS"/>
              </w:rPr>
            </w:pPr>
            <w:r>
              <w:rPr>
                <w:rFonts w:ascii="Comic Sans MS" w:hAnsi="Comic Sans MS" w:cs="Comic Sans MS"/>
              </w:rPr>
              <w:t xml:space="preserve">Music </w:t>
            </w:r>
            <w:smartTag w:uri="urn:schemas-microsoft-com:office:smarttags" w:element="place">
              <w:smartTag w:uri="urn:schemas-microsoft-com:office:smarttags" w:element="City">
                <w:r>
                  <w:rPr>
                    <w:rFonts w:ascii="Comic Sans MS" w:hAnsi="Comic Sans MS" w:cs="Comic Sans MS"/>
                  </w:rPr>
                  <w:t>Reading</w:t>
                </w:r>
              </w:smartTag>
            </w:smartTag>
          </w:p>
          <w:p w:rsidR="00FA0869" w:rsidRPr="00602781" w:rsidRDefault="00FA0869" w:rsidP="00D81787">
            <w:pPr>
              <w:jc w:val="center"/>
              <w:rPr>
                <w:rFonts w:ascii="Comic Sans MS" w:hAnsi="Comic Sans MS" w:cs="Comic Sans MS"/>
              </w:rPr>
            </w:pPr>
          </w:p>
        </w:tc>
        <w:tc>
          <w:tcPr>
            <w:tcW w:w="3435" w:type="dxa"/>
          </w:tcPr>
          <w:p w:rsidR="00FA0869" w:rsidRPr="00A9504C" w:rsidRDefault="00FA0869" w:rsidP="00E0614E">
            <w:pPr>
              <w:rPr>
                <w:rFonts w:ascii="Comic Sans MS" w:hAnsi="Comic Sans MS" w:cs="Comic Sans MS"/>
              </w:rPr>
            </w:pPr>
            <w:r>
              <w:rPr>
                <w:rFonts w:ascii="Comic Sans MS" w:hAnsi="Comic Sans MS" w:cs="Comic Sans MS"/>
                <w:sz w:val="22"/>
                <w:szCs w:val="22"/>
              </w:rPr>
              <w:t xml:space="preserve"> Music notation, rhythm values, music symbols, clef identification, rhythmic notation</w:t>
            </w:r>
          </w:p>
        </w:tc>
        <w:tc>
          <w:tcPr>
            <w:tcW w:w="3362" w:type="dxa"/>
          </w:tcPr>
          <w:p w:rsidR="00FA0869" w:rsidRPr="00A9504C" w:rsidRDefault="00FA0869" w:rsidP="00A57A83">
            <w:pPr>
              <w:rPr>
                <w:rFonts w:ascii="Comic Sans MS" w:hAnsi="Comic Sans MS" w:cs="Comic Sans MS"/>
              </w:rPr>
            </w:pPr>
            <w:r>
              <w:rPr>
                <w:rFonts w:ascii="Comic Sans MS" w:hAnsi="Comic Sans MS" w:cs="Comic Sans MS"/>
                <w:sz w:val="22"/>
                <w:szCs w:val="22"/>
              </w:rPr>
              <w:t xml:space="preserve"> 6.3 Students will begin to identify note names, clefs and rhythms with 95% accuracy.</w:t>
            </w:r>
          </w:p>
        </w:tc>
      </w:tr>
      <w:tr w:rsidR="00FA0869" w:rsidRPr="00602781">
        <w:tc>
          <w:tcPr>
            <w:tcW w:w="2779" w:type="dxa"/>
          </w:tcPr>
          <w:p w:rsidR="00FA0869" w:rsidRDefault="00FA0869" w:rsidP="00BA6886">
            <w:pPr>
              <w:tabs>
                <w:tab w:val="left" w:pos="712"/>
              </w:tabs>
              <w:rPr>
                <w:rFonts w:ascii="Comic Sans MS" w:hAnsi="Comic Sans MS" w:cs="Comic Sans MS"/>
              </w:rPr>
            </w:pPr>
            <w:r>
              <w:rPr>
                <w:rFonts w:ascii="Comic Sans MS" w:hAnsi="Comic Sans MS" w:cs="Comic Sans MS"/>
                <w:sz w:val="22"/>
                <w:szCs w:val="22"/>
              </w:rPr>
              <w:t xml:space="preserve"> </w:t>
            </w:r>
          </w:p>
          <w:p w:rsidR="00FA0869" w:rsidRDefault="00FA0869" w:rsidP="00DB36D5">
            <w:pPr>
              <w:tabs>
                <w:tab w:val="left" w:pos="712"/>
              </w:tabs>
              <w:jc w:val="center"/>
              <w:rPr>
                <w:rFonts w:ascii="Comic Sans MS" w:hAnsi="Comic Sans MS" w:cs="Comic Sans MS"/>
              </w:rPr>
            </w:pPr>
            <w:r>
              <w:rPr>
                <w:rFonts w:ascii="Comic Sans MS" w:hAnsi="Comic Sans MS" w:cs="Comic Sans MS"/>
              </w:rPr>
              <w:t>Rhythm Counting</w:t>
            </w:r>
          </w:p>
          <w:p w:rsidR="00FA0869" w:rsidRPr="00602781" w:rsidRDefault="00FA0869" w:rsidP="00BA6886">
            <w:pPr>
              <w:tabs>
                <w:tab w:val="left" w:pos="712"/>
              </w:tabs>
              <w:rPr>
                <w:rFonts w:ascii="Comic Sans MS" w:hAnsi="Comic Sans MS" w:cs="Comic Sans MS"/>
              </w:rPr>
            </w:pPr>
          </w:p>
        </w:tc>
        <w:tc>
          <w:tcPr>
            <w:tcW w:w="3435" w:type="dxa"/>
          </w:tcPr>
          <w:p w:rsidR="00FA0869" w:rsidRPr="00602781" w:rsidRDefault="00FA0869" w:rsidP="00A57A83">
            <w:pPr>
              <w:rPr>
                <w:rFonts w:ascii="Comic Sans MS" w:hAnsi="Comic Sans MS" w:cs="Comic Sans MS"/>
              </w:rPr>
            </w:pPr>
            <w:r>
              <w:rPr>
                <w:rFonts w:ascii="Comic Sans MS" w:hAnsi="Comic Sans MS" w:cs="Comic Sans MS"/>
                <w:sz w:val="22"/>
                <w:szCs w:val="22"/>
              </w:rPr>
              <w:t xml:space="preserve"> Identification of note values, counting, subdividing with foot tapping.</w:t>
            </w:r>
          </w:p>
        </w:tc>
        <w:tc>
          <w:tcPr>
            <w:tcW w:w="3362" w:type="dxa"/>
          </w:tcPr>
          <w:p w:rsidR="00FA0869" w:rsidRPr="00602781" w:rsidRDefault="00FA0869" w:rsidP="00D81787">
            <w:pPr>
              <w:rPr>
                <w:rFonts w:ascii="Comic Sans MS" w:hAnsi="Comic Sans MS" w:cs="Comic Sans MS"/>
              </w:rPr>
            </w:pPr>
            <w:r>
              <w:rPr>
                <w:rFonts w:ascii="Comic Sans MS" w:hAnsi="Comic Sans MS" w:cs="Comic Sans MS"/>
                <w:sz w:val="22"/>
                <w:szCs w:val="22"/>
              </w:rPr>
              <w:t xml:space="preserve"> 6.3, Students will be able to explain how to count rhythms with fewer than 3 mistakes. </w:t>
            </w:r>
          </w:p>
        </w:tc>
      </w:tr>
      <w:tr w:rsidR="00FA0869" w:rsidRPr="00602781">
        <w:tc>
          <w:tcPr>
            <w:tcW w:w="2779" w:type="dxa"/>
          </w:tcPr>
          <w:p w:rsidR="00FA0869" w:rsidRDefault="00FA0869" w:rsidP="00D81787">
            <w:pPr>
              <w:jc w:val="center"/>
              <w:rPr>
                <w:rFonts w:ascii="Comic Sans MS" w:hAnsi="Comic Sans MS" w:cs="Comic Sans MS"/>
                <w:noProof/>
              </w:rPr>
            </w:pPr>
          </w:p>
          <w:p w:rsidR="00FA0869" w:rsidRDefault="00FA0869" w:rsidP="00D81787">
            <w:pPr>
              <w:jc w:val="center"/>
              <w:rPr>
                <w:rFonts w:ascii="Comic Sans MS" w:hAnsi="Comic Sans MS" w:cs="Comic Sans MS"/>
                <w:noProof/>
              </w:rPr>
            </w:pPr>
            <w:r>
              <w:rPr>
                <w:rFonts w:ascii="Comic Sans MS" w:hAnsi="Comic Sans MS" w:cs="Comic Sans MS"/>
                <w:noProof/>
              </w:rPr>
              <w:t>Music Symbols</w:t>
            </w:r>
          </w:p>
          <w:p w:rsidR="00FA0869" w:rsidRPr="00602781" w:rsidRDefault="00FA0869" w:rsidP="00D81787">
            <w:pPr>
              <w:jc w:val="center"/>
              <w:rPr>
                <w:rFonts w:ascii="Comic Sans MS" w:hAnsi="Comic Sans MS" w:cs="Comic Sans MS"/>
                <w:noProof/>
              </w:rPr>
            </w:pPr>
            <w:r>
              <w:rPr>
                <w:rFonts w:ascii="Comic Sans MS" w:hAnsi="Comic Sans MS" w:cs="Comic Sans MS"/>
                <w:noProof/>
                <w:sz w:val="22"/>
                <w:szCs w:val="22"/>
              </w:rPr>
              <w:t xml:space="preserve"> </w:t>
            </w:r>
          </w:p>
        </w:tc>
        <w:tc>
          <w:tcPr>
            <w:tcW w:w="3435" w:type="dxa"/>
          </w:tcPr>
          <w:p w:rsidR="00FA0869" w:rsidRPr="00B12706" w:rsidRDefault="00FA0869" w:rsidP="003B2F19">
            <w:pPr>
              <w:rPr>
                <w:rFonts w:ascii="Comic Sans MS" w:hAnsi="Comic Sans MS" w:cs="Comic Sans MS"/>
                <w:lang w:val="es-MX"/>
              </w:rPr>
            </w:pPr>
            <w:r w:rsidRPr="00B12706">
              <w:rPr>
                <w:rFonts w:ascii="Comic Sans MS" w:hAnsi="Comic Sans MS" w:cs="Comic Sans MS"/>
                <w:sz w:val="22"/>
                <w:szCs w:val="22"/>
                <w:lang w:val="es-MX"/>
              </w:rPr>
              <w:t>Fermata, dynamics, tempo markings, crescendo, decrescendo</w:t>
            </w:r>
            <w:r>
              <w:rPr>
                <w:rFonts w:ascii="Comic Sans MS" w:hAnsi="Comic Sans MS" w:cs="Comic Sans MS"/>
                <w:sz w:val="22"/>
                <w:szCs w:val="22"/>
                <w:lang w:val="es-MX"/>
              </w:rPr>
              <w:t>, 2/4 conducting pattern.</w:t>
            </w:r>
          </w:p>
        </w:tc>
        <w:tc>
          <w:tcPr>
            <w:tcW w:w="3362" w:type="dxa"/>
          </w:tcPr>
          <w:p w:rsidR="00FA0869" w:rsidRPr="00602781" w:rsidRDefault="00FA0869" w:rsidP="00D81787">
            <w:pPr>
              <w:rPr>
                <w:rFonts w:ascii="Comic Sans MS" w:hAnsi="Comic Sans MS" w:cs="Comic Sans MS"/>
              </w:rPr>
            </w:pPr>
            <w:r>
              <w:rPr>
                <w:rFonts w:ascii="Comic Sans MS" w:hAnsi="Comic Sans MS" w:cs="Comic Sans MS"/>
                <w:sz w:val="22"/>
                <w:szCs w:val="22"/>
              </w:rPr>
              <w:t>6.1, 6.2, 6.3, 6.4. Students will learn to become more musical through a strong understanding of musical symbols</w:t>
            </w:r>
          </w:p>
        </w:tc>
      </w:tr>
      <w:tr w:rsidR="00FA0869" w:rsidRPr="00BA6886">
        <w:tc>
          <w:tcPr>
            <w:tcW w:w="2779" w:type="dxa"/>
          </w:tcPr>
          <w:p w:rsidR="00FA0869" w:rsidRDefault="00FA0869" w:rsidP="00D81787">
            <w:pPr>
              <w:jc w:val="center"/>
              <w:rPr>
                <w:rFonts w:ascii="Comic Sans MS" w:hAnsi="Comic Sans MS" w:cs="Comic Sans MS"/>
                <w:noProof/>
              </w:rPr>
            </w:pPr>
          </w:p>
          <w:p w:rsidR="00FA0869" w:rsidRDefault="00FA0869" w:rsidP="00D81787">
            <w:pPr>
              <w:jc w:val="center"/>
              <w:rPr>
                <w:rFonts w:ascii="Comic Sans MS" w:hAnsi="Comic Sans MS" w:cs="Comic Sans MS"/>
                <w:noProof/>
              </w:rPr>
            </w:pPr>
            <w:r>
              <w:rPr>
                <w:rFonts w:ascii="Comic Sans MS" w:hAnsi="Comic Sans MS" w:cs="Comic Sans MS"/>
                <w:noProof/>
              </w:rPr>
              <w:t>Listening</w:t>
            </w:r>
          </w:p>
          <w:p w:rsidR="00FA0869" w:rsidRDefault="00FA0869" w:rsidP="00D81787">
            <w:pPr>
              <w:jc w:val="center"/>
              <w:rPr>
                <w:rFonts w:ascii="Comic Sans MS" w:hAnsi="Comic Sans MS" w:cs="Comic Sans MS"/>
                <w:noProof/>
              </w:rPr>
            </w:pPr>
          </w:p>
          <w:p w:rsidR="00FA0869" w:rsidRPr="00602781" w:rsidRDefault="00FA0869" w:rsidP="00D81787">
            <w:pPr>
              <w:jc w:val="center"/>
              <w:rPr>
                <w:rFonts w:ascii="Comic Sans MS" w:hAnsi="Comic Sans MS" w:cs="Comic Sans MS"/>
                <w:noProof/>
              </w:rPr>
            </w:pPr>
            <w:r>
              <w:rPr>
                <w:rFonts w:ascii="Comic Sans MS" w:hAnsi="Comic Sans MS" w:cs="Comic Sans MS"/>
                <w:noProof/>
                <w:sz w:val="22"/>
                <w:szCs w:val="22"/>
              </w:rPr>
              <w:t xml:space="preserve"> </w:t>
            </w:r>
          </w:p>
        </w:tc>
        <w:tc>
          <w:tcPr>
            <w:tcW w:w="3435" w:type="dxa"/>
          </w:tcPr>
          <w:p w:rsidR="00FA0869" w:rsidRPr="00602781" w:rsidRDefault="00FA0869" w:rsidP="00D81787">
            <w:pPr>
              <w:rPr>
                <w:rFonts w:ascii="Comic Sans MS" w:hAnsi="Comic Sans MS" w:cs="Comic Sans MS"/>
              </w:rPr>
            </w:pPr>
            <w:r>
              <w:rPr>
                <w:rFonts w:ascii="Comic Sans MS" w:hAnsi="Comic Sans MS" w:cs="Comic Sans MS"/>
                <w:sz w:val="22"/>
                <w:szCs w:val="22"/>
              </w:rPr>
              <w:t xml:space="preserve"> Identifying good characteristics of professional artists through listening</w:t>
            </w:r>
          </w:p>
        </w:tc>
        <w:tc>
          <w:tcPr>
            <w:tcW w:w="3362" w:type="dxa"/>
          </w:tcPr>
          <w:p w:rsidR="00FA0869" w:rsidRPr="00B12706" w:rsidRDefault="00FA0869" w:rsidP="00602781">
            <w:pPr>
              <w:rPr>
                <w:rFonts w:ascii="Comic Sans MS" w:hAnsi="Comic Sans MS" w:cs="Comic Sans MS"/>
              </w:rPr>
            </w:pPr>
            <w:r w:rsidRPr="00B12706">
              <w:rPr>
                <w:rFonts w:ascii="Comic Sans MS" w:hAnsi="Comic Sans MS" w:cs="Comic Sans MS"/>
                <w:sz w:val="22"/>
                <w:szCs w:val="22"/>
              </w:rPr>
              <w:t xml:space="preserve"> 6.</w:t>
            </w:r>
            <w:r>
              <w:rPr>
                <w:rFonts w:ascii="Comic Sans MS" w:hAnsi="Comic Sans MS" w:cs="Comic Sans MS"/>
                <w:sz w:val="22"/>
                <w:szCs w:val="22"/>
              </w:rPr>
              <w:t>6</w:t>
            </w:r>
            <w:r w:rsidRPr="00B12706">
              <w:rPr>
                <w:rFonts w:ascii="Comic Sans MS" w:hAnsi="Comic Sans MS" w:cs="Comic Sans MS"/>
                <w:sz w:val="22"/>
                <w:szCs w:val="22"/>
              </w:rPr>
              <w:t>, Students will be hear characteristic sounds for their instrument through listening to professionals play.</w:t>
            </w:r>
          </w:p>
        </w:tc>
      </w:tr>
      <w:tr w:rsidR="00FA0869" w:rsidRPr="00602781">
        <w:tc>
          <w:tcPr>
            <w:tcW w:w="2779" w:type="dxa"/>
          </w:tcPr>
          <w:p w:rsidR="00FA0869" w:rsidRDefault="00FA0869" w:rsidP="00D81787">
            <w:pPr>
              <w:jc w:val="center"/>
              <w:rPr>
                <w:rFonts w:ascii="Comic Sans MS" w:hAnsi="Comic Sans MS" w:cs="Comic Sans MS"/>
                <w:noProof/>
              </w:rPr>
            </w:pPr>
          </w:p>
          <w:p w:rsidR="00FA0869" w:rsidRDefault="00FA0869" w:rsidP="00D81787">
            <w:pPr>
              <w:jc w:val="center"/>
              <w:rPr>
                <w:rFonts w:ascii="Comic Sans MS" w:hAnsi="Comic Sans MS" w:cs="Comic Sans MS"/>
                <w:noProof/>
              </w:rPr>
            </w:pPr>
            <w:r>
              <w:rPr>
                <w:rFonts w:ascii="Comic Sans MS" w:hAnsi="Comic Sans MS" w:cs="Comic Sans MS"/>
                <w:noProof/>
              </w:rPr>
              <w:t>Chair Tests</w:t>
            </w:r>
          </w:p>
          <w:p w:rsidR="00FA0869" w:rsidRPr="00602781" w:rsidRDefault="00FA0869" w:rsidP="00D81787">
            <w:pPr>
              <w:jc w:val="center"/>
              <w:rPr>
                <w:rFonts w:ascii="Comic Sans MS" w:hAnsi="Comic Sans MS" w:cs="Comic Sans MS"/>
                <w:noProof/>
              </w:rPr>
            </w:pPr>
            <w:r>
              <w:rPr>
                <w:rFonts w:ascii="Comic Sans MS" w:hAnsi="Comic Sans MS" w:cs="Comic Sans MS"/>
                <w:noProof/>
                <w:sz w:val="22"/>
                <w:szCs w:val="22"/>
              </w:rPr>
              <w:t xml:space="preserve"> </w:t>
            </w:r>
          </w:p>
        </w:tc>
        <w:tc>
          <w:tcPr>
            <w:tcW w:w="3435" w:type="dxa"/>
          </w:tcPr>
          <w:p w:rsidR="00FA0869" w:rsidRPr="00602781" w:rsidRDefault="00FA0869" w:rsidP="00D81787">
            <w:pPr>
              <w:rPr>
                <w:rFonts w:ascii="Comic Sans MS" w:hAnsi="Comic Sans MS" w:cs="Comic Sans MS"/>
              </w:rPr>
            </w:pPr>
            <w:r>
              <w:rPr>
                <w:rFonts w:ascii="Comic Sans MS" w:hAnsi="Comic Sans MS" w:cs="Comic Sans MS"/>
                <w:sz w:val="22"/>
                <w:szCs w:val="22"/>
              </w:rPr>
              <w:t xml:space="preserve"> Topic varies according to skills taught previously in the week.</w:t>
            </w:r>
          </w:p>
        </w:tc>
        <w:tc>
          <w:tcPr>
            <w:tcW w:w="3362" w:type="dxa"/>
          </w:tcPr>
          <w:p w:rsidR="00FA0869" w:rsidRPr="00602781" w:rsidRDefault="00FA0869" w:rsidP="00D81787">
            <w:pPr>
              <w:rPr>
                <w:rFonts w:ascii="Comic Sans MS" w:hAnsi="Comic Sans MS" w:cs="Comic Sans MS"/>
              </w:rPr>
            </w:pPr>
            <w:r>
              <w:rPr>
                <w:rFonts w:ascii="Comic Sans MS" w:hAnsi="Comic Sans MS" w:cs="Comic Sans MS"/>
                <w:sz w:val="22"/>
                <w:szCs w:val="22"/>
              </w:rPr>
              <w:t xml:space="preserve"> </w:t>
            </w:r>
            <w:r>
              <w:rPr>
                <w:rFonts w:ascii="Comic Sans MS" w:hAnsi="Comic Sans MS" w:cs="Comic Sans MS"/>
              </w:rPr>
              <w:t>6.2, Student will exhibit understanding of material covered by scoring a II or better on chair tests.</w:t>
            </w:r>
          </w:p>
        </w:tc>
      </w:tr>
      <w:tr w:rsidR="00FA0869" w:rsidRPr="00602781">
        <w:tc>
          <w:tcPr>
            <w:tcW w:w="2779" w:type="dxa"/>
          </w:tcPr>
          <w:p w:rsidR="00FA0869" w:rsidRDefault="00FA0869" w:rsidP="00D81787">
            <w:pPr>
              <w:jc w:val="center"/>
              <w:rPr>
                <w:rFonts w:ascii="Comic Sans MS" w:hAnsi="Comic Sans MS" w:cs="Comic Sans MS"/>
                <w:noProof/>
              </w:rPr>
            </w:pPr>
          </w:p>
          <w:p w:rsidR="00FA0869" w:rsidRDefault="00FA0869" w:rsidP="00D81787">
            <w:pPr>
              <w:jc w:val="center"/>
              <w:rPr>
                <w:rFonts w:ascii="Comic Sans MS" w:hAnsi="Comic Sans MS" w:cs="Comic Sans MS"/>
                <w:noProof/>
              </w:rPr>
            </w:pPr>
            <w:r>
              <w:rPr>
                <w:rFonts w:ascii="Comic Sans MS" w:hAnsi="Comic Sans MS" w:cs="Comic Sans MS"/>
                <w:noProof/>
              </w:rPr>
              <w:t>Composers</w:t>
            </w:r>
          </w:p>
          <w:p w:rsidR="00FA0869" w:rsidRPr="00602781" w:rsidRDefault="00FA0869" w:rsidP="00D81787">
            <w:pPr>
              <w:jc w:val="center"/>
              <w:rPr>
                <w:rFonts w:ascii="Comic Sans MS" w:hAnsi="Comic Sans MS" w:cs="Comic Sans MS"/>
                <w:noProof/>
              </w:rPr>
            </w:pPr>
            <w:r>
              <w:rPr>
                <w:rFonts w:ascii="Comic Sans MS" w:hAnsi="Comic Sans MS" w:cs="Comic Sans MS"/>
                <w:noProof/>
                <w:sz w:val="22"/>
                <w:szCs w:val="22"/>
              </w:rPr>
              <w:t xml:space="preserve"> </w:t>
            </w:r>
          </w:p>
        </w:tc>
        <w:tc>
          <w:tcPr>
            <w:tcW w:w="3435" w:type="dxa"/>
          </w:tcPr>
          <w:p w:rsidR="00FA0869" w:rsidRPr="00602781" w:rsidRDefault="00FA0869" w:rsidP="003B2F19">
            <w:pPr>
              <w:rPr>
                <w:rFonts w:ascii="Comic Sans MS" w:hAnsi="Comic Sans MS" w:cs="Comic Sans MS"/>
              </w:rPr>
            </w:pPr>
            <w:r>
              <w:rPr>
                <w:rFonts w:ascii="Comic Sans MS" w:hAnsi="Comic Sans MS" w:cs="Comic Sans MS"/>
                <w:sz w:val="22"/>
                <w:szCs w:val="22"/>
              </w:rPr>
              <w:t>Mozart, Rossini</w:t>
            </w:r>
          </w:p>
        </w:tc>
        <w:tc>
          <w:tcPr>
            <w:tcW w:w="3362" w:type="dxa"/>
          </w:tcPr>
          <w:p w:rsidR="00FA0869" w:rsidRPr="00602781" w:rsidRDefault="00FA0869" w:rsidP="00D81787">
            <w:pPr>
              <w:rPr>
                <w:rFonts w:ascii="Comic Sans MS" w:hAnsi="Comic Sans MS" w:cs="Comic Sans MS"/>
              </w:rPr>
            </w:pPr>
            <w:r>
              <w:rPr>
                <w:rFonts w:ascii="Comic Sans MS" w:hAnsi="Comic Sans MS" w:cs="Comic Sans MS"/>
                <w:sz w:val="22"/>
                <w:szCs w:val="22"/>
              </w:rPr>
              <w:t>6.5: Students will begin to understand the concept of composers, through introduction to “Twinkle, Twinkle” and “William Tell Overture”</w:t>
            </w:r>
          </w:p>
        </w:tc>
      </w:tr>
      <w:tr w:rsidR="00FA0869" w:rsidRPr="00602781">
        <w:tc>
          <w:tcPr>
            <w:tcW w:w="2779" w:type="dxa"/>
          </w:tcPr>
          <w:p w:rsidR="00FA0869" w:rsidRDefault="00FA0869" w:rsidP="00D81787">
            <w:pPr>
              <w:jc w:val="center"/>
              <w:rPr>
                <w:rFonts w:ascii="Comic Sans MS" w:hAnsi="Comic Sans MS" w:cs="Comic Sans MS"/>
                <w:noProof/>
              </w:rPr>
            </w:pPr>
            <w:r>
              <w:rPr>
                <w:rFonts w:ascii="Comic Sans MS" w:hAnsi="Comic Sans MS" w:cs="Comic Sans MS"/>
                <w:noProof/>
                <w:sz w:val="22"/>
                <w:szCs w:val="22"/>
              </w:rPr>
              <w:t xml:space="preserve"> </w:t>
            </w:r>
          </w:p>
          <w:p w:rsidR="00FA0869" w:rsidRDefault="00FA0869" w:rsidP="00D81787">
            <w:pPr>
              <w:jc w:val="center"/>
              <w:rPr>
                <w:rFonts w:ascii="Comic Sans MS" w:hAnsi="Comic Sans MS" w:cs="Comic Sans MS"/>
                <w:noProof/>
              </w:rPr>
            </w:pPr>
          </w:p>
          <w:p w:rsidR="00FA0869" w:rsidRDefault="00FA0869" w:rsidP="00D81787">
            <w:pPr>
              <w:jc w:val="center"/>
              <w:rPr>
                <w:rFonts w:ascii="Comic Sans MS" w:hAnsi="Comic Sans MS" w:cs="Comic Sans MS"/>
                <w:noProof/>
              </w:rPr>
            </w:pPr>
          </w:p>
          <w:p w:rsidR="00FA0869" w:rsidRPr="00602781" w:rsidRDefault="00FA0869" w:rsidP="00D81787">
            <w:pPr>
              <w:jc w:val="center"/>
              <w:rPr>
                <w:rFonts w:ascii="Comic Sans MS" w:hAnsi="Comic Sans MS" w:cs="Comic Sans MS"/>
                <w:noProof/>
              </w:rPr>
            </w:pPr>
          </w:p>
        </w:tc>
        <w:tc>
          <w:tcPr>
            <w:tcW w:w="3435" w:type="dxa"/>
          </w:tcPr>
          <w:p w:rsidR="00FA0869" w:rsidRPr="00602781" w:rsidRDefault="00FA0869" w:rsidP="00A57A83">
            <w:pPr>
              <w:rPr>
                <w:rFonts w:ascii="Comic Sans MS" w:hAnsi="Comic Sans MS" w:cs="Comic Sans MS"/>
              </w:rPr>
            </w:pPr>
            <w:r>
              <w:rPr>
                <w:rFonts w:ascii="Comic Sans MS" w:hAnsi="Comic Sans MS" w:cs="Comic Sans MS"/>
                <w:sz w:val="22"/>
                <w:szCs w:val="22"/>
              </w:rPr>
              <w:t xml:space="preserve"> </w:t>
            </w:r>
          </w:p>
        </w:tc>
        <w:tc>
          <w:tcPr>
            <w:tcW w:w="3362" w:type="dxa"/>
          </w:tcPr>
          <w:p w:rsidR="00FA0869" w:rsidRDefault="00FA0869" w:rsidP="00D81787">
            <w:pPr>
              <w:rPr>
                <w:rFonts w:ascii="Comic Sans MS" w:hAnsi="Comic Sans MS" w:cs="Comic Sans MS"/>
              </w:rPr>
            </w:pPr>
            <w:r>
              <w:rPr>
                <w:rFonts w:ascii="Comic Sans MS" w:hAnsi="Comic Sans MS" w:cs="Comic Sans MS"/>
                <w:sz w:val="22"/>
                <w:szCs w:val="22"/>
              </w:rPr>
              <w:t xml:space="preserve"> </w:t>
            </w:r>
          </w:p>
          <w:p w:rsidR="00FA0869" w:rsidRPr="00602781" w:rsidRDefault="00FA0869" w:rsidP="00D81787">
            <w:pPr>
              <w:rPr>
                <w:rFonts w:ascii="Comic Sans MS" w:hAnsi="Comic Sans MS" w:cs="Comic Sans MS"/>
              </w:rPr>
            </w:pPr>
          </w:p>
        </w:tc>
      </w:tr>
    </w:tbl>
    <w:p w:rsidR="00FA0869" w:rsidRDefault="00FA0869">
      <w:pPr>
        <w:rPr>
          <w:sz w:val="22"/>
          <w:szCs w:val="22"/>
        </w:rPr>
      </w:pPr>
    </w:p>
    <w:p w:rsidR="00FA0869" w:rsidRDefault="00FA0869">
      <w:pPr>
        <w:rPr>
          <w:sz w:val="22"/>
          <w:szCs w:val="22"/>
        </w:rPr>
      </w:pPr>
      <w:r>
        <w:rPr>
          <w:sz w:val="22"/>
          <w:szCs w:val="22"/>
        </w:rPr>
        <w:t xml:space="preserve">Students must pass off p.9 #38, in order to receive their Christmas sheet. The Christmas recital music will come from this sheet. The band will have two short concerts. One at GNB and the other at the county library, dates will be sent home as soon as we have them. </w:t>
      </w:r>
    </w:p>
    <w:p w:rsidR="00FA0869" w:rsidRPr="00602781" w:rsidRDefault="00FA0869">
      <w:pPr>
        <w:rPr>
          <w:sz w:val="22"/>
          <w:szCs w:val="22"/>
        </w:rPr>
      </w:pPr>
    </w:p>
    <w:sectPr w:rsidR="00FA0869" w:rsidRPr="00602781" w:rsidSect="00307F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98F"/>
    <w:rsid w:val="00083DA9"/>
    <w:rsid w:val="00151BE8"/>
    <w:rsid w:val="001755E5"/>
    <w:rsid w:val="001A1F2E"/>
    <w:rsid w:val="001C7ED9"/>
    <w:rsid w:val="001F4EC5"/>
    <w:rsid w:val="002864D3"/>
    <w:rsid w:val="00307FED"/>
    <w:rsid w:val="00311793"/>
    <w:rsid w:val="00330805"/>
    <w:rsid w:val="00334719"/>
    <w:rsid w:val="003B2F19"/>
    <w:rsid w:val="003B540C"/>
    <w:rsid w:val="00480767"/>
    <w:rsid w:val="00482CDB"/>
    <w:rsid w:val="004A39C0"/>
    <w:rsid w:val="00500666"/>
    <w:rsid w:val="00512B64"/>
    <w:rsid w:val="00540EFC"/>
    <w:rsid w:val="00583B6D"/>
    <w:rsid w:val="005843C8"/>
    <w:rsid w:val="00602781"/>
    <w:rsid w:val="00637A99"/>
    <w:rsid w:val="00730931"/>
    <w:rsid w:val="007C7D90"/>
    <w:rsid w:val="007F43EE"/>
    <w:rsid w:val="00860035"/>
    <w:rsid w:val="008613BE"/>
    <w:rsid w:val="008D7182"/>
    <w:rsid w:val="009C3486"/>
    <w:rsid w:val="009C3B34"/>
    <w:rsid w:val="00A4390F"/>
    <w:rsid w:val="00A57A83"/>
    <w:rsid w:val="00A90979"/>
    <w:rsid w:val="00A9504C"/>
    <w:rsid w:val="00B064EB"/>
    <w:rsid w:val="00B07F7A"/>
    <w:rsid w:val="00B12706"/>
    <w:rsid w:val="00B809A0"/>
    <w:rsid w:val="00BA6886"/>
    <w:rsid w:val="00CD0E8F"/>
    <w:rsid w:val="00D357D6"/>
    <w:rsid w:val="00D81787"/>
    <w:rsid w:val="00DB36D5"/>
    <w:rsid w:val="00DD5D42"/>
    <w:rsid w:val="00DF4E12"/>
    <w:rsid w:val="00E00A2B"/>
    <w:rsid w:val="00E056E1"/>
    <w:rsid w:val="00E0614E"/>
    <w:rsid w:val="00E267D7"/>
    <w:rsid w:val="00E7798F"/>
    <w:rsid w:val="00EB2878"/>
    <w:rsid w:val="00EC46BB"/>
    <w:rsid w:val="00ED0F33"/>
    <w:rsid w:val="00ED53BD"/>
    <w:rsid w:val="00EE24E3"/>
    <w:rsid w:val="00FA0869"/>
    <w:rsid w:val="00FB1938"/>
    <w:rsid w:val="00FB7F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8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3B6D"/>
    <w:rPr>
      <w:rFonts w:ascii="Tahoma" w:hAnsi="Tahoma" w:cs="Tahoma"/>
      <w:sz w:val="16"/>
      <w:szCs w:val="16"/>
    </w:rPr>
  </w:style>
  <w:style w:type="character" w:customStyle="1" w:styleId="BalloonTextChar">
    <w:name w:val="Balloon Text Char"/>
    <w:basedOn w:val="DefaultParagraphFont"/>
    <w:link w:val="BalloonText"/>
    <w:uiPriority w:val="99"/>
    <w:semiHidden/>
    <w:rsid w:val="00ED0F33"/>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226</Words>
  <Characters>1292</Characters>
  <Application>Microsoft Office Outlook</Application>
  <DocSecurity>0</DocSecurity>
  <Lines>0</Lines>
  <Paragraphs>0</Paragraphs>
  <ScaleCrop>false</ScaleCrop>
  <Company>Gilmer ISD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 Grade Reading/ELA</dc:title>
  <dc:subject/>
  <dc:creator>wisep</dc:creator>
  <cp:keywords/>
  <dc:description/>
  <cp:lastModifiedBy>Debra Holder</cp:lastModifiedBy>
  <cp:revision>2</cp:revision>
  <cp:lastPrinted>2012-05-25T19:50:00Z</cp:lastPrinted>
  <dcterms:created xsi:type="dcterms:W3CDTF">2014-07-31T21:33:00Z</dcterms:created>
  <dcterms:modified xsi:type="dcterms:W3CDTF">2014-07-31T21:33:00Z</dcterms:modified>
</cp:coreProperties>
</file>